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11BFC" w14:textId="77777777" w:rsidR="00F8756C" w:rsidRDefault="00F8756C" w:rsidP="00F8756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TSG SA Meeting #SP-85</w:t>
      </w:r>
      <w:r>
        <w:rPr>
          <w:rFonts w:ascii="Arial" w:hAnsi="Arial" w:cs="Arial"/>
          <w:b/>
          <w:noProof/>
          <w:sz w:val="24"/>
        </w:rPr>
        <w:tab/>
        <w:t>SP-190595</w:t>
      </w:r>
    </w:p>
    <w:p w14:paraId="440FADC8" w14:textId="77777777" w:rsidR="00F8756C" w:rsidRDefault="00F8756C" w:rsidP="00F8756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</w:rPr>
        <w:t>17 - 20 September 2019, Newport Beach, California, USA</w:t>
      </w:r>
    </w:p>
    <w:p w14:paraId="11A5AF1C" w14:textId="666B790C" w:rsidR="00F8756C" w:rsidRPr="00F8756C" w:rsidRDefault="00F8756C" w:rsidP="00F8756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4647DE1" w14:textId="77777777" w:rsidR="00F8756C" w:rsidRDefault="00F8756C" w:rsidP="00BB524D">
      <w:pPr>
        <w:tabs>
          <w:tab w:val="right" w:pos="9639"/>
        </w:tabs>
        <w:rPr>
          <w:rFonts w:ascii="Arial" w:hAnsi="Arial" w:cs="Arial"/>
          <w:b/>
          <w:noProof/>
          <w:sz w:val="24"/>
        </w:rPr>
      </w:pPr>
    </w:p>
    <w:p w14:paraId="1696FE9F" w14:textId="1C3B9233" w:rsidR="00010AD3" w:rsidRPr="00010AD3" w:rsidRDefault="00332C3C" w:rsidP="00BB524D">
      <w:pPr>
        <w:tabs>
          <w:tab w:val="right" w:pos="9639"/>
        </w:tabs>
        <w:rPr>
          <w:rFonts w:ascii="Arial" w:hAnsi="Arial" w:cs="Arial"/>
          <w:color w:val="000000"/>
        </w:rPr>
      </w:pPr>
      <w:r w:rsidRPr="00010AD3">
        <w:rPr>
          <w:rFonts w:ascii="Arial" w:hAnsi="Arial" w:cs="Arial"/>
          <w:b/>
          <w:noProof/>
          <w:sz w:val="24"/>
        </w:rPr>
        <w:t>SA WG2 Meeting #S2-134</w:t>
      </w:r>
      <w:r w:rsidRPr="00010AD3">
        <w:rPr>
          <w:rFonts w:ascii="Arial" w:hAnsi="Arial" w:cs="Arial"/>
          <w:b/>
          <w:noProof/>
          <w:sz w:val="24"/>
        </w:rPr>
        <w:tab/>
        <w:t>S2-190</w:t>
      </w:r>
      <w:r w:rsidR="00034024">
        <w:rPr>
          <w:rFonts w:ascii="Arial" w:hAnsi="Arial" w:cs="Arial"/>
          <w:b/>
          <w:noProof/>
          <w:sz w:val="24"/>
        </w:rPr>
        <w:t>8</w:t>
      </w:r>
      <w:r w:rsidR="00BB524D">
        <w:rPr>
          <w:rFonts w:ascii="Arial" w:hAnsi="Arial" w:cs="Arial"/>
          <w:b/>
          <w:noProof/>
          <w:sz w:val="24"/>
        </w:rPr>
        <w:t>634</w:t>
      </w:r>
    </w:p>
    <w:p w14:paraId="0CEAF598" w14:textId="09326496" w:rsidR="00332C3C" w:rsidRPr="00010AD3" w:rsidRDefault="00332C3C" w:rsidP="00BB524D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010AD3">
        <w:rPr>
          <w:rFonts w:cs="Arial"/>
          <w:b/>
          <w:noProof/>
          <w:sz w:val="24"/>
        </w:rPr>
        <w:t>24 - 28 June, 2019, Sapporo, Japan</w:t>
      </w:r>
      <w:r w:rsidR="00034024" w:rsidRPr="00BB524D">
        <w:rPr>
          <w:rFonts w:cs="Arial"/>
          <w:b/>
          <w:noProof/>
          <w:color w:val="0000FF"/>
        </w:rPr>
        <w:tab/>
      </w:r>
      <w:r w:rsidR="00BB524D" w:rsidRPr="00BB524D">
        <w:rPr>
          <w:rFonts w:cs="Arial"/>
          <w:b/>
          <w:noProof/>
          <w:color w:val="0000FF"/>
        </w:rPr>
        <w:t>(e-mail revision 1</w:t>
      </w:r>
      <w:r w:rsidR="00034024" w:rsidRPr="00BB524D">
        <w:rPr>
          <w:rFonts w:cs="Arial"/>
          <w:b/>
          <w:noProof/>
          <w:color w:val="0000FF"/>
        </w:rPr>
        <w:t xml:space="preserve"> of S2-1908</w:t>
      </w:r>
      <w:r w:rsidR="00BB524D" w:rsidRPr="00BB524D">
        <w:rPr>
          <w:rFonts w:cs="Arial"/>
          <w:b/>
          <w:noProof/>
          <w:color w:val="0000FF"/>
        </w:rPr>
        <w:t>460)</w:t>
      </w:r>
    </w:p>
    <w:p w14:paraId="0BDE2A0F" w14:textId="795A8D26" w:rsidR="00463675" w:rsidRPr="004D1867" w:rsidRDefault="00463675" w:rsidP="00BB524D">
      <w:pPr>
        <w:pStyle w:val="Title"/>
      </w:pPr>
      <w:r w:rsidRPr="000F4E43">
        <w:t>Title:</w:t>
      </w:r>
      <w:r w:rsidRPr="000F4E43">
        <w:tab/>
      </w:r>
      <w:r w:rsidR="00F0649B" w:rsidRPr="004D1867">
        <w:t>L</w:t>
      </w:r>
      <w:r w:rsidRPr="004D1867">
        <w:t xml:space="preserve">S on </w:t>
      </w:r>
      <w:r w:rsidR="00FB593E">
        <w:t>Reporting all Cell IDs in 5G</w:t>
      </w:r>
    </w:p>
    <w:p w14:paraId="25603B8B" w14:textId="17FBA401" w:rsidR="00DE63BA" w:rsidRPr="00010AD3" w:rsidRDefault="00463675" w:rsidP="00BB524D">
      <w:pPr>
        <w:pStyle w:val="Title"/>
      </w:pPr>
      <w:r w:rsidRPr="004D1867">
        <w:t>Response to:</w:t>
      </w:r>
      <w:r w:rsidRPr="004D1867">
        <w:tab/>
      </w:r>
      <w:r w:rsidR="00DE63BA" w:rsidRPr="00010AD3">
        <w:t>LS on Reporting all Cell IDs in 5G (S2-1906848/SP-190580),</w:t>
      </w:r>
      <w:r w:rsidR="00DE63BA" w:rsidRPr="00D279A5">
        <w:rPr>
          <w:b w:val="0"/>
        </w:rPr>
        <w:t xml:space="preserve"> </w:t>
      </w:r>
      <w:r w:rsidR="00DE63BA" w:rsidRPr="00D279A5">
        <w:rPr>
          <w:b w:val="0"/>
          <w:i/>
        </w:rPr>
        <w:t>and</w:t>
      </w:r>
    </w:p>
    <w:p w14:paraId="2BCF8152" w14:textId="49EAA95C" w:rsidR="00DE63BA" w:rsidRPr="00010AD3" w:rsidRDefault="00010AD3" w:rsidP="00BB524D">
      <w:pPr>
        <w:ind w:left="1701" w:hanging="1701"/>
        <w:rPr>
          <w:rFonts w:ascii="Arial" w:hAnsi="Arial" w:cs="Arial"/>
          <w:b/>
        </w:rPr>
      </w:pPr>
      <w:r w:rsidRPr="00010AD3">
        <w:rPr>
          <w:rFonts w:ascii="Arial" w:hAnsi="Arial" w:cs="Arial"/>
        </w:rPr>
        <w:tab/>
      </w:r>
      <w:r w:rsidRPr="00010AD3">
        <w:rPr>
          <w:rFonts w:ascii="Arial" w:hAnsi="Arial" w:cs="Arial"/>
          <w:b/>
          <w:color w:val="000000"/>
        </w:rPr>
        <w:t>LS from ETSI TC LI: 5G Cell ID(s) in the SA WG5 billing system</w:t>
      </w:r>
      <w:r w:rsidRPr="00010AD3">
        <w:rPr>
          <w:rFonts w:ascii="Arial" w:hAnsi="Arial" w:cs="Arial"/>
          <w:b/>
        </w:rPr>
        <w:t xml:space="preserve"> </w:t>
      </w:r>
      <w:r w:rsidR="00BB524D">
        <w:rPr>
          <w:rFonts w:ascii="Arial" w:hAnsi="Arial" w:cs="Arial"/>
          <w:b/>
        </w:rPr>
        <w:br/>
      </w:r>
      <w:r w:rsidRPr="00010AD3">
        <w:rPr>
          <w:rFonts w:ascii="Arial" w:hAnsi="Arial" w:cs="Arial"/>
          <w:b/>
        </w:rPr>
        <w:t>(S2-1906999/</w:t>
      </w:r>
      <w:r w:rsidRPr="00010AD3">
        <w:rPr>
          <w:rFonts w:ascii="Arial" w:hAnsi="Arial" w:cs="Arial"/>
          <w:b/>
          <w:color w:val="000000"/>
        </w:rPr>
        <w:t>LI(19)P51060r1)</w:t>
      </w:r>
    </w:p>
    <w:p w14:paraId="56E3B846" w14:textId="3CBAB941" w:rsidR="00463675" w:rsidRPr="004D1867" w:rsidRDefault="00463675" w:rsidP="000F4E43">
      <w:pPr>
        <w:pStyle w:val="Title"/>
      </w:pPr>
      <w:r w:rsidRPr="004D1867">
        <w:t>Release:</w:t>
      </w:r>
      <w:r w:rsidRPr="004D1867">
        <w:tab/>
      </w:r>
      <w:r w:rsidR="00D70FB9">
        <w:t>Rel-15</w:t>
      </w:r>
    </w:p>
    <w:p w14:paraId="792135A2" w14:textId="6A517730" w:rsidR="00463675" w:rsidRPr="004D1867" w:rsidRDefault="00463675" w:rsidP="000F4E43">
      <w:pPr>
        <w:pStyle w:val="Title"/>
      </w:pPr>
      <w:r w:rsidRPr="004D1867">
        <w:t>Work Item:</w:t>
      </w:r>
      <w:r w:rsidRPr="004D1867">
        <w:tab/>
      </w:r>
      <w:r w:rsidR="00D70FB9">
        <w:t xml:space="preserve">EDCE5, </w:t>
      </w:r>
      <w:r w:rsidR="00DE63BA">
        <w:t xml:space="preserve">5GS_Ph1, </w:t>
      </w:r>
      <w:r w:rsidR="00D70FB9">
        <w:t>LI-15</w:t>
      </w:r>
    </w:p>
    <w:p w14:paraId="0A1390C0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8D176D4" w:rsidR="00463675" w:rsidRPr="004D1867" w:rsidRDefault="00463675" w:rsidP="000F4E43">
      <w:pPr>
        <w:pStyle w:val="Source"/>
      </w:pPr>
      <w:r w:rsidRPr="004D1867">
        <w:t>Source:</w:t>
      </w:r>
      <w:r w:rsidRPr="004D1867">
        <w:tab/>
      </w:r>
      <w:r w:rsidR="00034024">
        <w:t>SA 2</w:t>
      </w:r>
    </w:p>
    <w:p w14:paraId="6AF9910D" w14:textId="6BC38E67" w:rsidR="00463675" w:rsidRPr="004D1867" w:rsidRDefault="00463675" w:rsidP="000F4E43">
      <w:pPr>
        <w:pStyle w:val="Source"/>
      </w:pPr>
      <w:r w:rsidRPr="004D1867">
        <w:t>To:</w:t>
      </w:r>
      <w:r w:rsidRPr="004D1867">
        <w:tab/>
      </w:r>
      <w:r w:rsidR="00AA4FE8">
        <w:t>SA</w:t>
      </w:r>
      <w:r w:rsidR="00BB524D">
        <w:t> WG</w:t>
      </w:r>
      <w:r w:rsidR="001C7DF5">
        <w:t>3-LI</w:t>
      </w:r>
      <w:r w:rsidR="00DE63BA">
        <w:t>, RAN</w:t>
      </w:r>
      <w:r w:rsidR="00BB524D">
        <w:t> WG</w:t>
      </w:r>
      <w:r w:rsidR="00DE63BA">
        <w:t>3, TSG</w:t>
      </w:r>
      <w:r w:rsidR="00BB524D">
        <w:t> </w:t>
      </w:r>
      <w:r w:rsidR="00DE63BA">
        <w:t>SA, ETSI TC-LI</w:t>
      </w:r>
      <w:r w:rsidR="00010AD3">
        <w:t>, SA</w:t>
      </w:r>
      <w:r w:rsidR="00BB524D">
        <w:t> WG</w:t>
      </w:r>
      <w:r w:rsidR="00010AD3">
        <w:t>5</w:t>
      </w:r>
    </w:p>
    <w:p w14:paraId="033E954A" w14:textId="3F6967CE" w:rsidR="00463675" w:rsidRPr="004D1867" w:rsidRDefault="00463675" w:rsidP="000F4E43">
      <w:pPr>
        <w:pStyle w:val="Source"/>
      </w:pPr>
      <w:r w:rsidRPr="004D1867">
        <w:t>Cc:</w:t>
      </w:r>
      <w:r w:rsidRPr="004D1867">
        <w:tab/>
      </w:r>
      <w:r w:rsidR="00FA6EA8">
        <w:t>TSG</w:t>
      </w:r>
      <w:r w:rsidR="00BB524D">
        <w:t> </w:t>
      </w:r>
      <w:r w:rsidR="00FA6EA8">
        <w:t>RAN</w:t>
      </w:r>
    </w:p>
    <w:p w14:paraId="12F1EB36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6E1DA9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66F8EE7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C7DF5">
        <w:t xml:space="preserve"> </w:t>
      </w:r>
      <w:r w:rsidR="00010AD3">
        <w:t>Chris Pudney</w:t>
      </w:r>
    </w:p>
    <w:p w14:paraId="5836C680" w14:textId="4230D8C6" w:rsidR="00463675" w:rsidRPr="00BB524D" w:rsidRDefault="00463675" w:rsidP="000F4E43">
      <w:pPr>
        <w:pStyle w:val="Contact"/>
        <w:tabs>
          <w:tab w:val="clear" w:pos="2268"/>
        </w:tabs>
      </w:pPr>
      <w:r w:rsidRPr="001C7DF5">
        <w:t>E-mail Address:</w:t>
      </w:r>
      <w:r w:rsidR="00652783">
        <w:t xml:space="preserve"> </w:t>
      </w:r>
      <w:r w:rsidR="00010AD3">
        <w:rPr>
          <w:bCs/>
        </w:rPr>
        <w:t>chris</w:t>
      </w:r>
      <w:r w:rsidR="001C7DF5" w:rsidRPr="001C7DF5">
        <w:rPr>
          <w:bCs/>
        </w:rPr>
        <w:t xml:space="preserve"> (dot) </w:t>
      </w:r>
      <w:r w:rsidR="00010AD3">
        <w:rPr>
          <w:bCs/>
        </w:rPr>
        <w:t>pudney</w:t>
      </w:r>
      <w:r w:rsidR="001C7DF5" w:rsidRPr="001C7DF5">
        <w:rPr>
          <w:bCs/>
        </w:rPr>
        <w:t xml:space="preserve"> (at) vodafone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C95122" w:rsidR="00463675" w:rsidRPr="001C7DF5" w:rsidRDefault="00463675" w:rsidP="00462EA1">
      <w:pPr>
        <w:pStyle w:val="Title"/>
      </w:pPr>
      <w:r w:rsidRPr="000F4E43">
        <w:t>Attachments:</w:t>
      </w:r>
      <w:r w:rsidRPr="000F4E43">
        <w:tab/>
      </w:r>
      <w:r w:rsidR="00010AD3">
        <w:t>23.50</w:t>
      </w:r>
      <w:r w:rsidR="003502C4">
        <w:t>2</w:t>
      </w:r>
      <w:r w:rsidR="00010AD3">
        <w:t xml:space="preserve"> CR 1550</w:t>
      </w:r>
      <w:r w:rsidR="00462EA1">
        <w:t xml:space="preserve"> (S2-1908139)</w:t>
      </w:r>
      <w:r w:rsidR="00010AD3">
        <w:t>;</w:t>
      </w:r>
      <w:r w:rsidR="00462EA1">
        <w:br/>
      </w:r>
      <w:r w:rsidR="00010AD3">
        <w:t>23</w:t>
      </w:r>
      <w:r w:rsidR="00D279A5">
        <w:t>.401 CR 3529</w:t>
      </w:r>
      <w:r w:rsidR="00462EA1">
        <w:t xml:space="preserve"> (S2-1908138)</w:t>
      </w:r>
      <w:r w:rsidR="00D279A5">
        <w:t>;</w:t>
      </w:r>
      <w:r w:rsidR="00BB524D">
        <w:t xml:space="preserve"> </w:t>
      </w:r>
      <w:r w:rsidR="00462EA1">
        <w:br/>
      </w:r>
      <w:r w:rsidR="00D279A5">
        <w:t>23.401 CR 3531</w:t>
      </w:r>
      <w:r w:rsidR="00462EA1">
        <w:t xml:space="preserve"> (S2-1908071)</w:t>
      </w:r>
    </w:p>
    <w:p w14:paraId="6C05A70A" w14:textId="77777777" w:rsidR="00463675" w:rsidRPr="001C7D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1C7DF5" w:rsidRDefault="00463675">
      <w:pPr>
        <w:rPr>
          <w:rFonts w:ascii="Arial" w:hAnsi="Arial" w:cs="Arial"/>
        </w:rPr>
      </w:pPr>
    </w:p>
    <w:p w14:paraId="2706FF1E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1. Overall Description:</w:t>
      </w:r>
    </w:p>
    <w:p w14:paraId="4D7D8E4E" w14:textId="47E73EEF" w:rsidR="00010AD3" w:rsidRDefault="00010AD3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>
        <w:rPr>
          <w:rFonts w:ascii="Arial" w:hAnsi="Arial" w:cs="Arial"/>
        </w:rPr>
        <w:t>2 thanks TS</w:t>
      </w:r>
      <w:r w:rsidR="0052098B">
        <w:rPr>
          <w:rFonts w:ascii="Arial" w:hAnsi="Arial" w:cs="Arial"/>
        </w:rPr>
        <w:t>G</w:t>
      </w:r>
      <w:r w:rsidR="00BB524D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SA for their guidance and questions in </w:t>
      </w:r>
      <w:r w:rsidRPr="00010AD3">
        <w:rPr>
          <w:rFonts w:ascii="Arial" w:hAnsi="Arial" w:cs="Arial"/>
        </w:rPr>
        <w:t>S2-1906848/SP-190580</w:t>
      </w:r>
      <w:r>
        <w:rPr>
          <w:rFonts w:ascii="Arial" w:hAnsi="Arial" w:cs="Arial"/>
        </w:rPr>
        <w:t>, and thanks ETSI TC LI for their extra insight on Retained Data.</w:t>
      </w:r>
    </w:p>
    <w:p w14:paraId="1163015A" w14:textId="1302A943" w:rsidR="00010AD3" w:rsidRDefault="00010AD3">
      <w:pPr>
        <w:rPr>
          <w:rFonts w:ascii="Arial" w:hAnsi="Arial" w:cs="Arial"/>
        </w:rPr>
      </w:pPr>
    </w:p>
    <w:p w14:paraId="68243159" w14:textId="46B0EB74" w:rsidR="00010AD3" w:rsidRDefault="00010AD3">
      <w:pPr>
        <w:rPr>
          <w:rFonts w:ascii="Arial" w:hAnsi="Arial" w:cs="Arial"/>
        </w:rPr>
      </w:pPr>
      <w:r>
        <w:rPr>
          <w:rFonts w:ascii="Arial" w:hAnsi="Arial" w:cs="Arial"/>
        </w:rPr>
        <w:t>As a consequence SA</w:t>
      </w:r>
      <w:r w:rsidR="00BB524D">
        <w:rPr>
          <w:rFonts w:ascii="Arial" w:hAnsi="Arial" w:cs="Arial"/>
        </w:rPr>
        <w:t> WG</w:t>
      </w:r>
      <w:r>
        <w:rPr>
          <w:rFonts w:ascii="Arial" w:hAnsi="Arial" w:cs="Arial"/>
        </w:rPr>
        <w:t xml:space="preserve">2 has agreed the attached Release 15 CRs (and their corresponding mirror CRs) </w:t>
      </w:r>
    </w:p>
    <w:p w14:paraId="68336EC2" w14:textId="182CF906" w:rsidR="00010AD3" w:rsidRDefault="00010AD3">
      <w:pPr>
        <w:rPr>
          <w:rFonts w:ascii="Arial" w:hAnsi="Arial" w:cs="Arial"/>
        </w:rPr>
      </w:pPr>
    </w:p>
    <w:p w14:paraId="105A07EA" w14:textId="60F51B34" w:rsidR="00010AD3" w:rsidRDefault="00D279A5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>
        <w:rPr>
          <w:rFonts w:ascii="Arial" w:hAnsi="Arial" w:cs="Arial"/>
        </w:rPr>
        <w:t>2 would like to provide the following responses to the points raised by TSG</w:t>
      </w:r>
      <w:r w:rsidR="00BB524D">
        <w:rPr>
          <w:rFonts w:ascii="Arial" w:hAnsi="Arial" w:cs="Arial"/>
        </w:rPr>
        <w:t> </w:t>
      </w:r>
      <w:r>
        <w:rPr>
          <w:rFonts w:ascii="Arial" w:hAnsi="Arial" w:cs="Arial"/>
        </w:rPr>
        <w:t>SA in SP-190580:</w:t>
      </w:r>
    </w:p>
    <w:p w14:paraId="1BF2DC9F" w14:textId="4F0692A2" w:rsidR="00010AD3" w:rsidRDefault="00010AD3">
      <w:pPr>
        <w:rPr>
          <w:rFonts w:ascii="Arial" w:hAnsi="Arial" w:cs="Arial"/>
        </w:rPr>
      </w:pPr>
    </w:p>
    <w:p w14:paraId="4A3426A5" w14:textId="77777777" w:rsidR="00010AD3" w:rsidRDefault="00010AD3">
      <w:pPr>
        <w:rPr>
          <w:rFonts w:ascii="Arial" w:hAnsi="Arial" w:cs="Arial"/>
        </w:rPr>
      </w:pPr>
    </w:p>
    <w:p w14:paraId="25D77FD0" w14:textId="3457B09D" w:rsidR="00B55028" w:rsidRPr="00D279A5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S2-1906165 from SA2#133 in Reno.</w:t>
      </w:r>
    </w:p>
    <w:p w14:paraId="47D7D09F" w14:textId="644A5A0B" w:rsidR="001259B1" w:rsidRDefault="00B55028">
      <w:p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TSG</w:t>
      </w:r>
      <w:r w:rsidR="00BB524D">
        <w:rPr>
          <w:rFonts w:ascii="Arial" w:hAnsi="Arial" w:cs="Arial"/>
          <w:i/>
          <w:iCs/>
        </w:rPr>
        <w:t> </w:t>
      </w:r>
      <w:r w:rsidRPr="00D279A5">
        <w:rPr>
          <w:rFonts w:ascii="Arial" w:hAnsi="Arial" w:cs="Arial"/>
          <w:i/>
          <w:iCs/>
        </w:rPr>
        <w:t>SA#84 discussed and concluded that the mandatory provisions in this</w:t>
      </w:r>
      <w:r w:rsidR="001259B1" w:rsidRPr="00D279A5">
        <w:rPr>
          <w:rFonts w:ascii="Arial" w:hAnsi="Arial" w:cs="Arial"/>
          <w:i/>
          <w:iCs/>
        </w:rPr>
        <w:t xml:space="preserve"> C</w:t>
      </w:r>
      <w:r w:rsidRPr="00D279A5">
        <w:rPr>
          <w:rFonts w:ascii="Arial" w:hAnsi="Arial" w:cs="Arial"/>
          <w:i/>
          <w:iCs/>
        </w:rPr>
        <w:t xml:space="preserve">R will cater for a large number of cases by </w:t>
      </w:r>
      <w:r w:rsidR="008C7468" w:rsidRPr="00D279A5">
        <w:rPr>
          <w:rFonts w:ascii="Arial" w:hAnsi="Arial" w:cs="Arial"/>
          <w:i/>
          <w:iCs/>
        </w:rPr>
        <w:t>making</w:t>
      </w:r>
      <w:r w:rsidRPr="00D279A5">
        <w:rPr>
          <w:rFonts w:ascii="Arial" w:hAnsi="Arial" w:cs="Arial"/>
          <w:i/>
          <w:iCs/>
        </w:rPr>
        <w:t xml:space="preserve"> </w:t>
      </w:r>
      <w:r w:rsidR="001259B1" w:rsidRPr="00D279A5">
        <w:rPr>
          <w:rFonts w:ascii="Arial" w:hAnsi="Arial" w:cs="Arial"/>
          <w:i/>
          <w:iCs/>
        </w:rPr>
        <w:t>relevant</w:t>
      </w:r>
      <w:r w:rsidR="008C7468" w:rsidRPr="00D279A5">
        <w:rPr>
          <w:rFonts w:ascii="Arial" w:hAnsi="Arial" w:cs="Arial"/>
          <w:i/>
          <w:iCs/>
        </w:rPr>
        <w:t xml:space="preserve"> </w:t>
      </w:r>
      <w:r w:rsidRPr="00D279A5">
        <w:rPr>
          <w:rFonts w:ascii="Arial" w:hAnsi="Arial" w:cs="Arial"/>
          <w:i/>
          <w:iCs/>
        </w:rPr>
        <w:t xml:space="preserve">secondary cell </w:t>
      </w:r>
      <w:r w:rsidR="008C7468" w:rsidRPr="00D279A5">
        <w:rPr>
          <w:rFonts w:ascii="Arial" w:hAnsi="Arial" w:cs="Arial"/>
          <w:i/>
          <w:iCs/>
        </w:rPr>
        <w:t xml:space="preserve">IDs available most of the time. However, concerns were expressed that </w:t>
      </w:r>
      <w:r w:rsidR="001259B1" w:rsidRPr="00D279A5">
        <w:rPr>
          <w:rFonts w:ascii="Arial" w:hAnsi="Arial" w:cs="Arial"/>
          <w:i/>
          <w:iCs/>
        </w:rPr>
        <w:t xml:space="preserve">this method would need to be extended </w:t>
      </w:r>
      <w:r w:rsidR="008C7468" w:rsidRPr="00D279A5">
        <w:rPr>
          <w:rFonts w:ascii="Arial" w:hAnsi="Arial" w:cs="Arial"/>
          <w:i/>
          <w:iCs/>
        </w:rPr>
        <w:t>in</w:t>
      </w:r>
      <w:r w:rsidR="001259B1" w:rsidRPr="00D279A5">
        <w:rPr>
          <w:rFonts w:ascii="Arial" w:hAnsi="Arial" w:cs="Arial"/>
          <w:i/>
          <w:iCs/>
        </w:rPr>
        <w:t xml:space="preserve"> order to satisfy</w:t>
      </w:r>
      <w:r w:rsidR="008C7468" w:rsidRPr="00D279A5">
        <w:rPr>
          <w:rFonts w:ascii="Arial" w:hAnsi="Arial" w:cs="Arial"/>
          <w:i/>
          <w:iCs/>
        </w:rPr>
        <w:t xml:space="preserve"> “Life at Risk” situations</w:t>
      </w:r>
      <w:r w:rsidR="001259B1" w:rsidRPr="00D279A5">
        <w:rPr>
          <w:rFonts w:ascii="Arial" w:hAnsi="Arial" w:cs="Arial"/>
          <w:i/>
          <w:iCs/>
        </w:rPr>
        <w:t>.</w:t>
      </w:r>
      <w:r w:rsidR="008C7468" w:rsidRPr="00D279A5">
        <w:rPr>
          <w:rFonts w:ascii="Arial" w:hAnsi="Arial" w:cs="Arial"/>
          <w:i/>
          <w:iCs/>
        </w:rPr>
        <w:t xml:space="preserve"> </w:t>
      </w:r>
      <w:r w:rsidR="00934D27" w:rsidRPr="00D279A5">
        <w:rPr>
          <w:rFonts w:ascii="Arial" w:hAnsi="Arial" w:cs="Arial"/>
          <w:i/>
          <w:iCs/>
        </w:rPr>
        <w:t xml:space="preserve">This CR </w:t>
      </w:r>
      <w:r w:rsidR="00252F47" w:rsidRPr="00D279A5">
        <w:rPr>
          <w:rFonts w:ascii="Arial" w:hAnsi="Arial" w:cs="Arial"/>
          <w:i/>
          <w:iCs/>
        </w:rPr>
        <w:t xml:space="preserve">can be used when not all cell IDs need to be reported and the </w:t>
      </w:r>
      <w:r w:rsidR="000F1720" w:rsidRPr="00D279A5">
        <w:rPr>
          <w:rFonts w:ascii="Arial" w:hAnsi="Arial" w:cs="Arial"/>
          <w:i/>
          <w:iCs/>
        </w:rPr>
        <w:t xml:space="preserve">lowest </w:t>
      </w:r>
      <w:r w:rsidR="00252F47" w:rsidRPr="00D279A5">
        <w:rPr>
          <w:rFonts w:ascii="Arial" w:hAnsi="Arial" w:cs="Arial"/>
          <w:i/>
          <w:iCs/>
        </w:rPr>
        <w:t xml:space="preserve">frequency of reporting for a UE is </w:t>
      </w:r>
      <w:r w:rsidR="00512CF5" w:rsidRPr="00D279A5">
        <w:rPr>
          <w:rFonts w:ascii="Arial" w:hAnsi="Arial" w:cs="Arial"/>
          <w:i/>
          <w:iCs/>
        </w:rPr>
        <w:t>lower</w:t>
      </w:r>
      <w:r w:rsidR="00252F47" w:rsidRPr="00D279A5">
        <w:rPr>
          <w:rFonts w:ascii="Arial" w:hAnsi="Arial" w:cs="Arial"/>
          <w:i/>
          <w:iCs/>
        </w:rPr>
        <w:t xml:space="preserve"> bounded by the TA update frequency. </w:t>
      </w:r>
      <w:r w:rsidR="000F30CA" w:rsidRPr="00D279A5">
        <w:rPr>
          <w:rFonts w:ascii="Arial" w:hAnsi="Arial" w:cs="Arial"/>
          <w:i/>
          <w:iCs/>
        </w:rPr>
        <w:t>While this solution may be activated for</w:t>
      </w:r>
      <w:r w:rsidR="00934D27" w:rsidRPr="00D279A5">
        <w:rPr>
          <w:rFonts w:ascii="Arial" w:hAnsi="Arial" w:cs="Arial"/>
          <w:i/>
          <w:iCs/>
        </w:rPr>
        <w:t xml:space="preserve"> </w:t>
      </w:r>
      <w:r w:rsidR="00A0230E" w:rsidRPr="00D279A5">
        <w:rPr>
          <w:rFonts w:ascii="Arial" w:hAnsi="Arial" w:cs="Arial"/>
          <w:i/>
          <w:iCs/>
        </w:rPr>
        <w:t xml:space="preserve">all </w:t>
      </w:r>
      <w:r w:rsidR="00934D27" w:rsidRPr="00D279A5">
        <w:rPr>
          <w:rFonts w:ascii="Arial" w:hAnsi="Arial" w:cs="Arial"/>
          <w:i/>
          <w:iCs/>
        </w:rPr>
        <w:t>UEs</w:t>
      </w:r>
      <w:r w:rsidR="000F30CA" w:rsidRPr="00D279A5">
        <w:rPr>
          <w:rFonts w:ascii="Arial" w:hAnsi="Arial" w:cs="Arial"/>
          <w:i/>
          <w:iCs/>
        </w:rPr>
        <w:t>, this feature may not enable reporting all secondary cell changes and in the worst case report only the ECGIs of the Cells at the interval of the TA update timer.</w:t>
      </w:r>
      <w:r w:rsidR="00695CBE" w:rsidRPr="00D279A5">
        <w:rPr>
          <w:rFonts w:ascii="Arial" w:hAnsi="Arial" w:cs="Arial"/>
          <w:i/>
          <w:iCs/>
        </w:rPr>
        <w:t xml:space="preserve">  A similar capability is still required for </w:t>
      </w:r>
      <w:r w:rsidR="0020654C" w:rsidRPr="00D279A5">
        <w:rPr>
          <w:rFonts w:ascii="Arial" w:hAnsi="Arial" w:cs="Arial"/>
          <w:i/>
          <w:iCs/>
        </w:rPr>
        <w:t>5GS</w:t>
      </w:r>
      <w:r w:rsidR="00695CBE" w:rsidRPr="00D279A5">
        <w:rPr>
          <w:rFonts w:ascii="Arial" w:hAnsi="Arial" w:cs="Arial"/>
          <w:i/>
          <w:iCs/>
        </w:rPr>
        <w:t>.</w:t>
      </w:r>
    </w:p>
    <w:p w14:paraId="393E4CB7" w14:textId="2611E16C" w:rsidR="00D279A5" w:rsidRDefault="00D279A5">
      <w:pPr>
        <w:rPr>
          <w:rFonts w:ascii="Arial" w:hAnsi="Arial" w:cs="Arial"/>
          <w:i/>
          <w:iCs/>
        </w:rPr>
      </w:pPr>
    </w:p>
    <w:p w14:paraId="1701B704" w14:textId="5C395AE6" w:rsidR="00D279A5" w:rsidRPr="00D279A5" w:rsidRDefault="00D279A5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/…./</w:t>
      </w:r>
    </w:p>
    <w:p w14:paraId="30A8B04D" w14:textId="528034F1" w:rsidR="00D279A5" w:rsidRDefault="00D279A5">
      <w:pPr>
        <w:rPr>
          <w:rFonts w:ascii="Arial" w:hAnsi="Arial" w:cs="Arial"/>
          <w:iCs/>
        </w:rPr>
      </w:pPr>
    </w:p>
    <w:p w14:paraId="1B7BD985" w14:textId="3E83C609" w:rsidR="00D279A5" w:rsidRPr="00D279A5" w:rsidRDefault="00D279A5">
      <w:p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TSG</w:t>
      </w:r>
      <w:r w:rsidR="00BB524D">
        <w:rPr>
          <w:rFonts w:ascii="Arial" w:hAnsi="Arial" w:cs="Arial"/>
          <w:i/>
          <w:iCs/>
        </w:rPr>
        <w:t> </w:t>
      </w:r>
      <w:r w:rsidRPr="00D279A5">
        <w:rPr>
          <w:rFonts w:ascii="Arial" w:hAnsi="Arial" w:cs="Arial"/>
          <w:i/>
          <w:iCs/>
        </w:rPr>
        <w:t>SA is interested to know how often cell changes can be reported for the method in 1) above.</w:t>
      </w:r>
    </w:p>
    <w:p w14:paraId="39C84B20" w14:textId="53F6CF7C" w:rsidR="00D279A5" w:rsidRDefault="00D279A5">
      <w:pPr>
        <w:rPr>
          <w:rFonts w:ascii="Arial" w:hAnsi="Arial" w:cs="Arial"/>
          <w:iCs/>
        </w:rPr>
      </w:pPr>
    </w:p>
    <w:p w14:paraId="6FC03B88" w14:textId="6B511559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would like to point out that:</w:t>
      </w:r>
    </w:p>
    <w:p w14:paraId="66E1B4B4" w14:textId="77777777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- in EPC, Periodic TAUs are not performed in RRC Connected, and </w:t>
      </w:r>
    </w:p>
    <w:p w14:paraId="3E829F1D" w14:textId="0329C1D4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- in 5GC, periodic Registration Updates are not performed in RRC Connected state.</w:t>
      </w:r>
    </w:p>
    <w:p w14:paraId="2319F127" w14:textId="15ED36F3" w:rsidR="00D279A5" w:rsidRDefault="00D279A5">
      <w:pPr>
        <w:rPr>
          <w:rFonts w:ascii="Arial" w:hAnsi="Arial" w:cs="Arial"/>
          <w:iCs/>
        </w:rPr>
      </w:pPr>
    </w:p>
    <w:p w14:paraId="514CBA91" w14:textId="6CDC0B33" w:rsidR="003A1344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Also, the maximum period can be very large (e.g. greater than one year)</w:t>
      </w:r>
      <w:r w:rsidR="003A1344">
        <w:rPr>
          <w:rFonts w:ascii="Arial" w:hAnsi="Arial" w:cs="Arial"/>
          <w:iCs/>
        </w:rPr>
        <w:t>. Hence, t</w:t>
      </w:r>
      <w:r>
        <w:rPr>
          <w:rFonts w:ascii="Arial" w:hAnsi="Arial" w:cs="Arial"/>
          <w:iCs/>
        </w:rPr>
        <w:t xml:space="preserve">o address the </w:t>
      </w:r>
      <w:r w:rsidR="003A1344">
        <w:rPr>
          <w:rFonts w:ascii="Arial" w:hAnsi="Arial" w:cs="Arial"/>
          <w:iCs/>
        </w:rPr>
        <w:t xml:space="preserve">above </w:t>
      </w:r>
      <w:r>
        <w:rPr>
          <w:rFonts w:ascii="Arial" w:hAnsi="Arial" w:cs="Arial"/>
          <w:iCs/>
        </w:rPr>
        <w:t>concerns raised about “life at risk” situations, 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has agreed CR 3531 to EPC TS 23.401. In CR 3531</w:t>
      </w:r>
      <w:r w:rsidR="003A1344">
        <w:rPr>
          <w:rFonts w:ascii="Arial" w:hAnsi="Arial" w:cs="Arial"/>
          <w:iCs/>
        </w:rPr>
        <w:t>:</w:t>
      </w:r>
    </w:p>
    <w:p w14:paraId="59328405" w14:textId="2E4B8526" w:rsidR="000F30CA" w:rsidRDefault="00D279A5" w:rsidP="003A1344">
      <w:pPr>
        <w:pStyle w:val="ListParagraph"/>
        <w:numPr>
          <w:ilvl w:val="0"/>
          <w:numId w:val="16"/>
        </w:numPr>
        <w:rPr>
          <w:rFonts w:ascii="Arial" w:hAnsi="Arial" w:cs="Arial"/>
          <w:iCs/>
        </w:rPr>
      </w:pPr>
      <w:r w:rsidRPr="003A1344">
        <w:rPr>
          <w:rFonts w:ascii="Arial" w:hAnsi="Arial" w:cs="Arial"/>
          <w:iCs/>
        </w:rPr>
        <w:lastRenderedPageBreak/>
        <w:t xml:space="preserve">the PSCell ID is added to the </w:t>
      </w:r>
      <w:r w:rsidR="003A1344" w:rsidRPr="003A1344">
        <w:rPr>
          <w:rFonts w:ascii="Arial" w:hAnsi="Arial" w:cs="Arial"/>
          <w:iCs/>
        </w:rPr>
        <w:t>secondary RAT usage data report message</w:t>
      </w:r>
      <w:r w:rsidR="003A1344">
        <w:rPr>
          <w:rFonts w:ascii="Arial" w:hAnsi="Arial" w:cs="Arial"/>
          <w:iCs/>
        </w:rPr>
        <w:t xml:space="preserve"> that can be sent periodically from the eNB to the MME. This message is currently used for the optional “secondary RAT data volume reporting procedure”.</w:t>
      </w:r>
      <w:r w:rsidR="003A1344" w:rsidRPr="003A1344">
        <w:rPr>
          <w:rFonts w:ascii="Arial" w:hAnsi="Arial" w:cs="Arial"/>
          <w:iCs/>
        </w:rPr>
        <w:t xml:space="preserve"> </w:t>
      </w:r>
      <w:r w:rsidR="003A1344">
        <w:rPr>
          <w:rFonts w:ascii="Arial" w:hAnsi="Arial" w:cs="Arial"/>
          <w:iCs/>
        </w:rPr>
        <w:t>The periodicity of this message is not specified but could be expected to be more frequent than the rate at which the Serving Gateway generates Partial CDRs.</w:t>
      </w:r>
    </w:p>
    <w:p w14:paraId="223FBD7A" w14:textId="77777777" w:rsidR="003A1344" w:rsidRDefault="003A1344" w:rsidP="003A1344">
      <w:pPr>
        <w:pStyle w:val="ListParagraph"/>
        <w:rPr>
          <w:rFonts w:ascii="Arial" w:hAnsi="Arial" w:cs="Arial"/>
          <w:iCs/>
        </w:rPr>
      </w:pPr>
    </w:p>
    <w:p w14:paraId="734448C3" w14:textId="3497B035" w:rsidR="003A1344" w:rsidRPr="003A1344" w:rsidRDefault="003A1344" w:rsidP="003A1344">
      <w:pPr>
        <w:pStyle w:val="ListParagraph"/>
        <w:numPr>
          <w:ilvl w:val="0"/>
          <w:numId w:val="16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As the secondary RAT data volume reporting procedure is somewhat comple</w:t>
      </w:r>
      <w:r w:rsidRPr="003A1344">
        <w:rPr>
          <w:rFonts w:ascii="Arial" w:hAnsi="Arial" w:cs="Arial"/>
          <w:iCs/>
        </w:rPr>
        <w:t>x and optional, the S1 interface</w:t>
      </w:r>
      <w:r w:rsidRPr="003A1344">
        <w:rPr>
          <w:rFonts w:ascii="Arial" w:hAnsi="Arial" w:cs="Arial"/>
        </w:rPr>
        <w:t xml:space="preserve"> UE Context Release Complete</w:t>
      </w:r>
      <w:r w:rsidRPr="003A1344">
        <w:rPr>
          <w:rFonts w:ascii="Arial" w:hAnsi="Arial" w:cs="Arial"/>
          <w:iCs/>
        </w:rPr>
        <w:t xml:space="preserve"> and </w:t>
      </w:r>
      <w:r w:rsidRPr="003A1344">
        <w:rPr>
          <w:rFonts w:ascii="Arial" w:hAnsi="Arial" w:cs="Arial"/>
        </w:rPr>
        <w:t>UE Context Suspend Request</w:t>
      </w:r>
      <w:r w:rsidRPr="003A1344">
        <w:rPr>
          <w:rFonts w:ascii="Arial" w:hAnsi="Arial" w:cs="Arial"/>
          <w:iCs/>
        </w:rPr>
        <w:t xml:space="preserve"> messages </w:t>
      </w:r>
      <w:r>
        <w:rPr>
          <w:rFonts w:ascii="Arial" w:hAnsi="Arial" w:cs="Arial"/>
          <w:iCs/>
        </w:rPr>
        <w:t>have been enhanced to carry the last us</w:t>
      </w:r>
      <w:r w:rsidR="001D1BB2">
        <w:rPr>
          <w:rFonts w:ascii="Arial" w:hAnsi="Arial" w:cs="Arial"/>
          <w:iCs/>
        </w:rPr>
        <w:t>ed PSCell ID and the time elapsed since Dual Connectivity was deactivated.</w:t>
      </w:r>
    </w:p>
    <w:p w14:paraId="10643664" w14:textId="3A4F9F38" w:rsidR="00D279A5" w:rsidRDefault="00D279A5">
      <w:pPr>
        <w:rPr>
          <w:rFonts w:ascii="Arial" w:hAnsi="Arial" w:cs="Arial"/>
          <w:iCs/>
        </w:rPr>
      </w:pPr>
    </w:p>
    <w:p w14:paraId="1B9C0981" w14:textId="40E09A95" w:rsidR="001D1BB2" w:rsidRDefault="001D1BB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Changes corresponding to TS 23.401</w:t>
      </w:r>
      <w:r w:rsidRPr="001D1BB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CR 3531 have yet to be prepared for 5GS.</w:t>
      </w:r>
    </w:p>
    <w:p w14:paraId="03971C86" w14:textId="572E04B7" w:rsidR="00AA4D79" w:rsidRDefault="00AA4D79">
      <w:pPr>
        <w:rPr>
          <w:rFonts w:ascii="Arial" w:hAnsi="Arial" w:cs="Arial"/>
          <w:iCs/>
        </w:rPr>
      </w:pPr>
    </w:p>
    <w:p w14:paraId="1B77B7A0" w14:textId="77FC7009" w:rsidR="00AA4D79" w:rsidRDefault="00AA4D7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would like to inform ETSI TC LI and 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5 that the PSCell IDs will only be sent from the RAN to the MME and that these change requests do not propagate the PSCell ID onto the Serving Gateway.</w:t>
      </w:r>
    </w:p>
    <w:p w14:paraId="6B30DFCC" w14:textId="4D068A12" w:rsidR="001D1BB2" w:rsidRDefault="001D1BB2">
      <w:pPr>
        <w:rPr>
          <w:rFonts w:ascii="Arial" w:hAnsi="Arial" w:cs="Arial"/>
          <w:iCs/>
        </w:rPr>
      </w:pPr>
    </w:p>
    <w:p w14:paraId="0EEBC336" w14:textId="161A0E59" w:rsidR="001D1BB2" w:rsidRDefault="001D1BB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 SA plenary’s request that “</w:t>
      </w:r>
      <w:r w:rsidRPr="00D279A5">
        <w:rPr>
          <w:rFonts w:ascii="Arial" w:hAnsi="Arial" w:cs="Arial"/>
          <w:i/>
          <w:iCs/>
        </w:rPr>
        <w:t>A similar capability is still required for 5GS</w:t>
      </w:r>
      <w:r>
        <w:rPr>
          <w:rFonts w:ascii="Arial" w:hAnsi="Arial" w:cs="Arial"/>
          <w:i/>
          <w:iCs/>
        </w:rPr>
        <w:t xml:space="preserve">” </w:t>
      </w:r>
      <w:r w:rsidRPr="001D1BB2">
        <w:rPr>
          <w:rFonts w:ascii="Arial" w:hAnsi="Arial" w:cs="Arial"/>
          <w:iCs/>
        </w:rPr>
        <w:t>with respect to the TS 23.401 CR in</w:t>
      </w:r>
      <w:r>
        <w:rPr>
          <w:rFonts w:ascii="Arial" w:hAnsi="Arial" w:cs="Arial"/>
          <w:i/>
          <w:iCs/>
        </w:rPr>
        <w:t xml:space="preserve"> “</w:t>
      </w:r>
      <w:r w:rsidRPr="00D279A5">
        <w:rPr>
          <w:rFonts w:ascii="Arial" w:hAnsi="Arial" w:cs="Arial"/>
          <w:i/>
          <w:iCs/>
        </w:rPr>
        <w:t>S2-1906165 from SA2#133 in Reno</w:t>
      </w:r>
      <w:r>
        <w:rPr>
          <w:rFonts w:ascii="Arial" w:hAnsi="Arial" w:cs="Arial"/>
          <w:i/>
          <w:iCs/>
        </w:rPr>
        <w:t>”</w:t>
      </w:r>
      <w:r>
        <w:rPr>
          <w:rFonts w:ascii="Arial" w:hAnsi="Arial" w:cs="Arial"/>
          <w:iCs/>
        </w:rPr>
        <w:t>, 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 xml:space="preserve">2 believe that this </w:t>
      </w:r>
      <w:r w:rsidR="00AA4FE8">
        <w:rPr>
          <w:rFonts w:ascii="Arial" w:hAnsi="Arial" w:cs="Arial"/>
          <w:iCs/>
        </w:rPr>
        <w:t xml:space="preserve">capability </w:t>
      </w:r>
      <w:r>
        <w:rPr>
          <w:rFonts w:ascii="Arial" w:hAnsi="Arial" w:cs="Arial"/>
          <w:iCs/>
        </w:rPr>
        <w:t>has already been delivered owing to the stage 3 message encoding adopted by RAN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3 in their CRs to the June RAN plenary. (RAN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3 added PSCell ID to the User Location Information element, and the existing 5GS specifications already indicate</w:t>
      </w:r>
      <w:r w:rsidR="003502C4">
        <w:rPr>
          <w:rFonts w:ascii="Arial" w:hAnsi="Arial" w:cs="Arial"/>
          <w:iCs/>
        </w:rPr>
        <w:t>d</w:t>
      </w:r>
      <w:r>
        <w:rPr>
          <w:rFonts w:ascii="Arial" w:hAnsi="Arial" w:cs="Arial"/>
          <w:iCs/>
        </w:rPr>
        <w:t xml:space="preserve"> where “user location information” is carried.) </w:t>
      </w:r>
    </w:p>
    <w:p w14:paraId="3613DA40" w14:textId="32A888B7" w:rsidR="00D279A5" w:rsidRDefault="00D279A5">
      <w:pPr>
        <w:rPr>
          <w:rFonts w:ascii="Arial" w:hAnsi="Arial" w:cs="Arial"/>
          <w:iCs/>
        </w:rPr>
      </w:pPr>
    </w:p>
    <w:p w14:paraId="4DA38565" w14:textId="15415B3F" w:rsidR="00D1087D" w:rsidRDefault="00D1087D" w:rsidP="00A54655">
      <w:pPr>
        <w:rPr>
          <w:rFonts w:ascii="Arial" w:hAnsi="Arial" w:cs="Arial"/>
          <w:iCs/>
        </w:rPr>
      </w:pPr>
    </w:p>
    <w:p w14:paraId="535ADED4" w14:textId="3DD883DF" w:rsidR="00D1087D" w:rsidRPr="00D1087D" w:rsidRDefault="00D1087D" w:rsidP="00D1087D">
      <w:pPr>
        <w:rPr>
          <w:rFonts w:ascii="Arial" w:hAnsi="Arial" w:cs="Arial"/>
          <w:iCs/>
        </w:rPr>
      </w:pPr>
    </w:p>
    <w:p w14:paraId="60234826" w14:textId="7542757E" w:rsidR="00D1087D" w:rsidRPr="00D1087D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to:</w:t>
      </w:r>
    </w:p>
    <w:p w14:paraId="4493D18A" w14:textId="0527C9DF" w:rsidR="00D1087D" w:rsidRPr="003502C4" w:rsidRDefault="003502C4" w:rsidP="00D1087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D1087D" w:rsidRPr="003502C4">
        <w:rPr>
          <w:rFonts w:ascii="Arial" w:hAnsi="Arial" w:cs="Arial"/>
          <w:i/>
          <w:iCs/>
        </w:rPr>
        <w:t>TSG-SA encourages SA</w:t>
      </w:r>
      <w:r w:rsidR="00BB524D">
        <w:rPr>
          <w:rFonts w:ascii="Arial" w:hAnsi="Arial" w:cs="Arial"/>
          <w:i/>
          <w:iCs/>
        </w:rPr>
        <w:t> WG</w:t>
      </w:r>
      <w:r w:rsidR="00D1087D" w:rsidRPr="003502C4">
        <w:rPr>
          <w:rFonts w:ascii="Arial" w:hAnsi="Arial" w:cs="Arial"/>
          <w:i/>
          <w:iCs/>
        </w:rPr>
        <w:t>2 to consider indicating in TS</w:t>
      </w:r>
      <w:r w:rsidR="00BB524D">
        <w:rPr>
          <w:rFonts w:ascii="Arial" w:hAnsi="Arial" w:cs="Arial"/>
          <w:i/>
          <w:iCs/>
        </w:rPr>
        <w:t> </w:t>
      </w:r>
      <w:r w:rsidR="00D1087D" w:rsidRPr="003502C4">
        <w:rPr>
          <w:rFonts w:ascii="Arial" w:hAnsi="Arial" w:cs="Arial"/>
          <w:i/>
          <w:iCs/>
        </w:rPr>
        <w:t>23.502 that the method in 2) above would result in unacceptably high signalling load if simply applied to all UEs</w:t>
      </w:r>
      <w:r w:rsidR="00B862E6" w:rsidRPr="003502C4">
        <w:rPr>
          <w:rFonts w:ascii="Arial" w:hAnsi="Arial" w:cs="Arial"/>
          <w:i/>
          <w:iCs/>
        </w:rPr>
        <w:t>.</w:t>
      </w:r>
      <w:r>
        <w:rPr>
          <w:rFonts w:ascii="Arial" w:hAnsi="Arial" w:cs="Arial"/>
          <w:i/>
          <w:iCs/>
        </w:rPr>
        <w:t>”</w:t>
      </w:r>
      <w:r w:rsidR="00D1087D" w:rsidRPr="003502C4">
        <w:rPr>
          <w:rFonts w:ascii="Arial" w:hAnsi="Arial" w:cs="Arial"/>
          <w:i/>
          <w:iCs/>
        </w:rPr>
        <w:t xml:space="preserve"> </w:t>
      </w:r>
    </w:p>
    <w:p w14:paraId="75DA7F02" w14:textId="5EE594A3" w:rsidR="00D1087D" w:rsidRDefault="00D1087D" w:rsidP="00D1087D">
      <w:pPr>
        <w:rPr>
          <w:rFonts w:ascii="Arial" w:hAnsi="Arial" w:cs="Arial"/>
          <w:iCs/>
        </w:rPr>
      </w:pPr>
    </w:p>
    <w:p w14:paraId="28842488" w14:textId="29CB7D3E" w:rsidR="003502C4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have addressed this in CR 1550 to TS</w:t>
      </w:r>
      <w:r w:rsidR="00BB524D">
        <w:rPr>
          <w:rFonts w:ascii="Arial" w:hAnsi="Arial" w:cs="Arial"/>
          <w:iCs/>
        </w:rPr>
        <w:t> </w:t>
      </w:r>
      <w:r>
        <w:rPr>
          <w:rFonts w:ascii="Arial" w:hAnsi="Arial" w:cs="Arial"/>
          <w:iCs/>
        </w:rPr>
        <w:t>23.502.</w:t>
      </w:r>
    </w:p>
    <w:p w14:paraId="1CA133B2" w14:textId="6F48E7E3" w:rsidR="003502C4" w:rsidRDefault="003502C4" w:rsidP="00D1087D">
      <w:pPr>
        <w:rPr>
          <w:rFonts w:ascii="Arial" w:hAnsi="Arial" w:cs="Arial"/>
          <w:iCs/>
        </w:rPr>
      </w:pPr>
    </w:p>
    <w:p w14:paraId="5AF4E075" w14:textId="7F58CEB4" w:rsidR="003502C4" w:rsidRPr="00D1087D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to:</w:t>
      </w:r>
    </w:p>
    <w:p w14:paraId="0756346A" w14:textId="07B79B0D" w:rsidR="00D1087D" w:rsidRPr="003502C4" w:rsidRDefault="003502C4" w:rsidP="00D1087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D1087D" w:rsidRPr="003502C4">
        <w:rPr>
          <w:rFonts w:ascii="Arial" w:hAnsi="Arial" w:cs="Arial"/>
          <w:i/>
          <w:iCs/>
        </w:rPr>
        <w:t>In addition TSG</w:t>
      </w:r>
      <w:r w:rsidR="00BB524D">
        <w:rPr>
          <w:rFonts w:ascii="Arial" w:hAnsi="Arial" w:cs="Arial"/>
          <w:i/>
          <w:iCs/>
        </w:rPr>
        <w:t> </w:t>
      </w:r>
      <w:r w:rsidR="00D1087D" w:rsidRPr="003502C4">
        <w:rPr>
          <w:rFonts w:ascii="Arial" w:hAnsi="Arial" w:cs="Arial"/>
          <w:i/>
          <w:iCs/>
        </w:rPr>
        <w:t>SA noted that it should be possible to enable or disable secondary reporting of Secondary Cell information on a per UE basis.</w:t>
      </w:r>
      <w:r>
        <w:rPr>
          <w:rFonts w:ascii="Arial" w:hAnsi="Arial" w:cs="Arial"/>
          <w:i/>
          <w:iCs/>
        </w:rPr>
        <w:t>”</w:t>
      </w:r>
    </w:p>
    <w:p w14:paraId="7DDEA547" w14:textId="2FFC8273" w:rsidR="00F64002" w:rsidRDefault="00F64002" w:rsidP="00A54655">
      <w:pPr>
        <w:rPr>
          <w:rFonts w:ascii="Arial" w:hAnsi="Arial" w:cs="Arial"/>
          <w:iCs/>
        </w:rPr>
      </w:pPr>
    </w:p>
    <w:p w14:paraId="052548E0" w14:textId="2523E416" w:rsidR="003502C4" w:rsidRDefault="003502C4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have addressed this in CR 1550 to TS 23.502 and CR 3529 to TS 23.401.</w:t>
      </w:r>
    </w:p>
    <w:p w14:paraId="24087BC5" w14:textId="77777777" w:rsidR="003502C4" w:rsidRDefault="003502C4" w:rsidP="00A54655">
      <w:pPr>
        <w:rPr>
          <w:rFonts w:ascii="Arial" w:hAnsi="Arial" w:cs="Arial"/>
          <w:iCs/>
        </w:rPr>
      </w:pPr>
    </w:p>
    <w:p w14:paraId="63DA267E" w14:textId="77777777" w:rsidR="00463675" w:rsidRPr="001C7DF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2. Actions:</w:t>
      </w:r>
    </w:p>
    <w:p w14:paraId="7BF3A47C" w14:textId="5DEC99ED" w:rsidR="00463675" w:rsidRPr="001C7DF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To </w:t>
      </w:r>
      <w:r w:rsidR="003502C4">
        <w:rPr>
          <w:rFonts w:ascii="Arial" w:hAnsi="Arial" w:cs="Arial"/>
          <w:b/>
        </w:rPr>
        <w:t>TSG</w:t>
      </w:r>
      <w:r w:rsidR="00BB524D">
        <w:rPr>
          <w:rFonts w:ascii="Arial" w:hAnsi="Arial" w:cs="Arial"/>
          <w:b/>
        </w:rPr>
        <w:t> </w:t>
      </w:r>
      <w:r w:rsidR="00F64002">
        <w:rPr>
          <w:rFonts w:ascii="Arial" w:hAnsi="Arial" w:cs="Arial"/>
          <w:b/>
        </w:rPr>
        <w:t>SA</w:t>
      </w:r>
      <w:r w:rsidR="003502C4">
        <w:rPr>
          <w:rFonts w:ascii="Arial" w:hAnsi="Arial" w:cs="Arial"/>
          <w:b/>
        </w:rPr>
        <w:t>, SA</w:t>
      </w:r>
      <w:r w:rsidR="00BB524D">
        <w:rPr>
          <w:rFonts w:ascii="Arial" w:hAnsi="Arial" w:cs="Arial"/>
          <w:b/>
        </w:rPr>
        <w:t> WG</w:t>
      </w:r>
      <w:r w:rsidR="003502C4">
        <w:rPr>
          <w:rFonts w:ascii="Arial" w:hAnsi="Arial" w:cs="Arial"/>
          <w:b/>
        </w:rPr>
        <w:t>3-LI, SA</w:t>
      </w:r>
      <w:r w:rsidR="00BB524D">
        <w:rPr>
          <w:rFonts w:ascii="Arial" w:hAnsi="Arial" w:cs="Arial"/>
          <w:b/>
        </w:rPr>
        <w:t> WG</w:t>
      </w:r>
      <w:r w:rsidR="003502C4">
        <w:rPr>
          <w:rFonts w:ascii="Arial" w:hAnsi="Arial" w:cs="Arial"/>
          <w:b/>
        </w:rPr>
        <w:t>5 and ETSI TC LI</w:t>
      </w:r>
      <w:r w:rsidRPr="001C7DF5">
        <w:rPr>
          <w:rFonts w:ascii="Arial" w:hAnsi="Arial" w:cs="Arial"/>
          <w:b/>
        </w:rPr>
        <w:t>.</w:t>
      </w:r>
    </w:p>
    <w:p w14:paraId="502C5C67" w14:textId="3A4E7370" w:rsidR="00E221C7" w:rsidRDefault="00463675">
      <w:pPr>
        <w:spacing w:after="120"/>
        <w:ind w:left="993" w:hanging="993"/>
        <w:rPr>
          <w:rFonts w:ascii="Arial" w:hAnsi="Arial" w:cs="Arial"/>
        </w:rPr>
      </w:pPr>
      <w:r w:rsidRPr="001C7DF5">
        <w:rPr>
          <w:rFonts w:ascii="Arial" w:hAnsi="Arial" w:cs="Arial"/>
          <w:b/>
        </w:rPr>
        <w:t xml:space="preserve">ACTION: </w:t>
      </w:r>
      <w:r w:rsidRPr="001C7DF5">
        <w:rPr>
          <w:rFonts w:ascii="Arial" w:hAnsi="Arial" w:cs="Arial"/>
          <w:b/>
        </w:rPr>
        <w:tab/>
      </w:r>
      <w:r w:rsidR="00F64002"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 w:rsidR="003502C4">
        <w:rPr>
          <w:rFonts w:ascii="Arial" w:hAnsi="Arial" w:cs="Arial"/>
        </w:rPr>
        <w:t>2</w:t>
      </w:r>
      <w:r w:rsidR="00F64002">
        <w:rPr>
          <w:rFonts w:ascii="Arial" w:hAnsi="Arial" w:cs="Arial"/>
        </w:rPr>
        <w:t xml:space="preserve"> </w:t>
      </w:r>
      <w:r w:rsidR="003502C4">
        <w:rPr>
          <w:rFonts w:ascii="Arial" w:hAnsi="Arial" w:cs="Arial"/>
        </w:rPr>
        <w:t>asks TSG</w:t>
      </w:r>
      <w:r w:rsidR="00BB524D">
        <w:rPr>
          <w:rFonts w:ascii="Arial" w:hAnsi="Arial" w:cs="Arial"/>
        </w:rPr>
        <w:t> </w:t>
      </w:r>
      <w:r w:rsidR="003502C4">
        <w:rPr>
          <w:rFonts w:ascii="Arial" w:hAnsi="Arial" w:cs="Arial"/>
        </w:rPr>
        <w:t>SA, SA</w:t>
      </w:r>
      <w:r w:rsidR="00BB524D">
        <w:rPr>
          <w:rFonts w:ascii="Arial" w:hAnsi="Arial" w:cs="Arial"/>
        </w:rPr>
        <w:t> WG</w:t>
      </w:r>
      <w:r w:rsidR="003502C4">
        <w:rPr>
          <w:rFonts w:ascii="Arial" w:hAnsi="Arial" w:cs="Arial"/>
        </w:rPr>
        <w:t>3-LI, SA</w:t>
      </w:r>
      <w:r w:rsidR="00BB524D">
        <w:rPr>
          <w:rFonts w:ascii="Arial" w:hAnsi="Arial" w:cs="Arial"/>
        </w:rPr>
        <w:t> WG</w:t>
      </w:r>
      <w:r w:rsidR="003502C4">
        <w:rPr>
          <w:rFonts w:ascii="Arial" w:hAnsi="Arial" w:cs="Arial"/>
        </w:rPr>
        <w:t xml:space="preserve">5 and ETSI TC LI </w:t>
      </w:r>
      <w:r w:rsidR="00F64002">
        <w:rPr>
          <w:rFonts w:ascii="Arial" w:hAnsi="Arial" w:cs="Arial"/>
        </w:rPr>
        <w:t>t</w:t>
      </w:r>
      <w:r w:rsidRPr="001C7DF5">
        <w:rPr>
          <w:rFonts w:ascii="Arial" w:hAnsi="Arial" w:cs="Arial"/>
        </w:rPr>
        <w:t>o</w:t>
      </w:r>
      <w:r w:rsidR="00F64002">
        <w:rPr>
          <w:rFonts w:ascii="Arial" w:hAnsi="Arial" w:cs="Arial"/>
        </w:rPr>
        <w:t xml:space="preserve"> </w:t>
      </w:r>
      <w:r w:rsidR="00252F47">
        <w:rPr>
          <w:rFonts w:ascii="Arial" w:hAnsi="Arial" w:cs="Arial"/>
        </w:rPr>
        <w:t>take the above into account</w:t>
      </w:r>
      <w:r w:rsidR="003502C4">
        <w:rPr>
          <w:rFonts w:ascii="Arial" w:hAnsi="Arial" w:cs="Arial"/>
        </w:rPr>
        <w:t xml:space="preserve"> and provide any further feedback</w:t>
      </w:r>
      <w:r w:rsidR="00252F47">
        <w:rPr>
          <w:rFonts w:ascii="Arial" w:hAnsi="Arial" w:cs="Arial"/>
        </w:rPr>
        <w:t xml:space="preserve">. </w:t>
      </w:r>
    </w:p>
    <w:p w14:paraId="6CFB69F1" w14:textId="05C62B79" w:rsidR="00F64002" w:rsidRDefault="003502C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BB524D">
        <w:rPr>
          <w:rFonts w:ascii="Arial" w:hAnsi="Arial" w:cs="Arial"/>
          <w:b/>
        </w:rPr>
        <w:t> WG</w:t>
      </w:r>
      <w:r>
        <w:rPr>
          <w:rFonts w:ascii="Arial" w:hAnsi="Arial" w:cs="Arial"/>
          <w:b/>
        </w:rPr>
        <w:t>3</w:t>
      </w:r>
      <w:r w:rsidR="00F64002" w:rsidRPr="00F64002">
        <w:rPr>
          <w:rFonts w:ascii="Arial" w:hAnsi="Arial" w:cs="Arial"/>
          <w:b/>
        </w:rPr>
        <w:t>.</w:t>
      </w:r>
    </w:p>
    <w:p w14:paraId="3449AB35" w14:textId="4088AF7A" w:rsidR="00463675" w:rsidRPr="00FB593E" w:rsidRDefault="00F64002" w:rsidP="00CC271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3502C4" w:rsidRPr="003502C4"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 w:rsidR="003502C4" w:rsidRPr="003502C4">
        <w:rPr>
          <w:rFonts w:ascii="Arial" w:hAnsi="Arial" w:cs="Arial"/>
        </w:rPr>
        <w:t>2 politely request RAN</w:t>
      </w:r>
      <w:r w:rsidR="00BB524D">
        <w:rPr>
          <w:rFonts w:ascii="Arial" w:hAnsi="Arial" w:cs="Arial"/>
        </w:rPr>
        <w:t> WG</w:t>
      </w:r>
      <w:r w:rsidR="003502C4" w:rsidRPr="003502C4">
        <w:rPr>
          <w:rFonts w:ascii="Arial" w:hAnsi="Arial" w:cs="Arial"/>
        </w:rPr>
        <w:t>3 to prepare CRs to their specifications to align with the attached SA</w:t>
      </w:r>
      <w:r w:rsidR="00BB524D">
        <w:rPr>
          <w:rFonts w:ascii="Arial" w:hAnsi="Arial" w:cs="Arial"/>
        </w:rPr>
        <w:t> WG</w:t>
      </w:r>
      <w:r w:rsidR="003502C4" w:rsidRPr="003502C4">
        <w:rPr>
          <w:rFonts w:ascii="Arial" w:hAnsi="Arial" w:cs="Arial"/>
        </w:rPr>
        <w:t>2 CRs</w:t>
      </w:r>
      <w:r w:rsidR="003502C4">
        <w:rPr>
          <w:rFonts w:ascii="Arial" w:hAnsi="Arial" w:cs="Arial"/>
          <w:b/>
        </w:rPr>
        <w:t>.</w:t>
      </w:r>
    </w:p>
    <w:p w14:paraId="0939DFD5" w14:textId="77777777" w:rsidR="00463675" w:rsidRPr="001C7DF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BBA530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3. Date of Next </w:t>
      </w:r>
      <w:r w:rsidR="00CC271F">
        <w:rPr>
          <w:rFonts w:ascii="Arial" w:hAnsi="Arial" w:cs="Arial"/>
          <w:b/>
        </w:rPr>
        <w:t>SA</w:t>
      </w:r>
      <w:r w:rsidR="003502C4">
        <w:rPr>
          <w:rFonts w:ascii="Arial" w:hAnsi="Arial" w:cs="Arial"/>
          <w:b/>
        </w:rPr>
        <w:t xml:space="preserve"> 2</w:t>
      </w:r>
      <w:r w:rsidRPr="001C7DF5">
        <w:rPr>
          <w:rFonts w:ascii="Arial" w:hAnsi="Arial" w:cs="Arial"/>
          <w:b/>
        </w:rPr>
        <w:t xml:space="preserve"> Meetings:</w:t>
      </w:r>
    </w:p>
    <w:p w14:paraId="0B1EC8D9" w14:textId="1F33E09E" w:rsidR="007B78A6" w:rsidRPr="00C211F9" w:rsidRDefault="007B78A6" w:rsidP="007B78A6">
      <w:pPr>
        <w:rPr>
          <w:rFonts w:ascii="Arial" w:hAnsi="Arial" w:cs="Arial"/>
        </w:rPr>
      </w:pPr>
      <w:r>
        <w:rPr>
          <w:rFonts w:ascii="Arial" w:hAnsi="Arial" w:cs="Arial"/>
        </w:rPr>
        <w:t>TSG SA WG2 Meeting 135</w:t>
      </w:r>
      <w:r>
        <w:rPr>
          <w:rFonts w:ascii="Arial" w:hAnsi="Arial" w:cs="Arial"/>
        </w:rPr>
        <w:tab/>
        <w:t>14-18 October 2019</w:t>
      </w:r>
      <w:r w:rsidR="00AA4D79">
        <w:rPr>
          <w:rFonts w:ascii="Arial" w:hAnsi="Arial" w:cs="Arial"/>
        </w:rPr>
        <w:tab/>
      </w:r>
      <w:r w:rsidR="00AA4D79">
        <w:rPr>
          <w:rFonts w:ascii="Arial" w:hAnsi="Arial" w:cs="Arial"/>
        </w:rPr>
        <w:tab/>
      </w:r>
      <w:r>
        <w:rPr>
          <w:rFonts w:ascii="Arial" w:hAnsi="Arial" w:cs="Arial"/>
        </w:rPr>
        <w:t>Split,</w:t>
      </w:r>
      <w:r w:rsidR="00AA4D79">
        <w:rPr>
          <w:rFonts w:ascii="Arial" w:hAnsi="Arial" w:cs="Arial"/>
        </w:rPr>
        <w:t xml:space="preserve"> </w:t>
      </w:r>
      <w:r w:rsidRPr="00C211F9">
        <w:rPr>
          <w:rFonts w:ascii="Arial" w:hAnsi="Arial" w:cs="Arial"/>
        </w:rPr>
        <w:t>Croatia</w:t>
      </w:r>
    </w:p>
    <w:p w14:paraId="1188C6ED" w14:textId="722C7893" w:rsidR="00AA4D79" w:rsidRPr="00C211F9" w:rsidRDefault="00AA4D79" w:rsidP="00AA4D79">
      <w:pPr>
        <w:rPr>
          <w:rFonts w:ascii="Arial" w:hAnsi="Arial" w:cs="Arial"/>
        </w:rPr>
      </w:pPr>
      <w:r>
        <w:rPr>
          <w:rFonts w:ascii="Arial" w:hAnsi="Arial" w:cs="Arial"/>
        </w:rPr>
        <w:t>TSG SA WG2 Meeting 136</w:t>
      </w:r>
      <w:r>
        <w:rPr>
          <w:rFonts w:ascii="Arial" w:hAnsi="Arial" w:cs="Arial"/>
        </w:rPr>
        <w:tab/>
        <w:t>18-22 November 2019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Reno, </w:t>
      </w:r>
      <w:r w:rsidR="007B78A6" w:rsidRPr="00C211F9">
        <w:rPr>
          <w:rFonts w:ascii="Arial" w:hAnsi="Arial" w:cs="Arial"/>
        </w:rPr>
        <w:t>Nevada, USA</w:t>
      </w:r>
    </w:p>
    <w:p w14:paraId="5B4B6428" w14:textId="395EA1FB" w:rsidR="00FB593E" w:rsidRPr="001C7DF5" w:rsidRDefault="00FB593E" w:rsidP="007B78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1C7DF5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C7DF5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82289" w14:textId="77777777" w:rsidR="00F90933" w:rsidRDefault="00F90933">
      <w:r>
        <w:separator/>
      </w:r>
    </w:p>
  </w:endnote>
  <w:endnote w:type="continuationSeparator" w:id="0">
    <w:p w14:paraId="06DBC2F9" w14:textId="77777777" w:rsidR="00F90933" w:rsidRDefault="00F90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DAE4B" w14:textId="41B33471" w:rsidR="004D1867" w:rsidRDefault="004D1867">
    <w:pPr>
      <w:pStyle w:val="Footer"/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6806F36" wp14:editId="40A2D43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dfec48d883dcd4851147b39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3BA6" w14:textId="3FF0CFFD" w:rsidR="004D1867" w:rsidRPr="004D1867" w:rsidRDefault="004D1867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06F36" id="_x0000_t202" coordsize="21600,21600" o:spt="202" path="m,l,21600r21600,l21600,xe">
              <v:stroke joinstyle="miter"/>
              <v:path gradientshapeok="t" o:connecttype="rect"/>
            </v:shapetype>
            <v:shape id="MSIPCMdfec48d883dcd4851147b39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nKPQMAALAGAAAOAAAAZHJzL2Uyb0RvYy54bWysVUtz2zYQvncm/wGDQ0+l+TBIkazpjC2Z&#10;rWfsxDNOJ2eIAEVMSYABIEtuJv+9C5CSbOfSScMDtNhdfPvAt9DF+/3QoyeujVCywvFZhBGXjWJC&#10;bir816c6yDEylkpGeyV5hZ+5we8v3/1ysRtLnqhO9YxrBCDSlLuxwp21YxmGpun4QM2ZGrkEY6v0&#10;QC1s9SZkmu4AfejDJIqycKc0G7VquDGgXU1GfOnx25Y39mPbGm5RX2HIzfpV+3Xt1vDygpYbTcdO&#10;NHMa9AeyGKiQEPQItaKWoq0W30ENotHKqNaeNWoIVduKhvsaoJo4elPNY0dH7muB5pjx2Cbz82Cb&#10;D08PGglW4QQjSQe4ovvH24flPYPekZzl+TlrGMnTOCaL9XmRYsS4aaCDX3/9slX29z+p6ZaK8WlX&#10;BnFWFOmCJOfxb7MDF5vOzuacJGfRbPgsmO1mfVqkR/1DTxs+cHk4M7nUSlmuJ3kGuJWM72eA6edB&#10;i4Hq51dej8ABIOfsd8jqkxpnTXQMfMfbQ0xQfnPc2I2mhBY9jtAku79We+C4v2cz3qnmb4OkWnZU&#10;bviV1mrXccrgbmJ3MnxxdMIxDmS9u4dmVZhurfJA+1YPjjhABQTowNHnIy/53qIGlIs0iwoCrW/A&#10;lmTZIvLEDWl5OD1qY//gakBOqLCGmj06fboz1mVDy4OLCyZVLfrec7+XrxTgOGkgNhx1NpeFp/LX&#10;Iipu8pucBCTJbgISrVbBVb0kQVbHi3R1vlouV/E3FzcmZScY49KFOYxVTP4bbecBnwbiOFhG9YI5&#10;OJeS0Zv1stfoicJY1/7zPQfLyS18nYZvAtTypqQ4IdF1UgR1li8CUpM0KBZRHkRxcV1kESnIqn5d&#10;0p2Q/P+XhHYVLtIknch0SvpNbZH/vq+NloOAcUC9GCqcH51o6Sh4I5m/WktFP8kvWuHSP7UCrvtw&#10;0Z6wjqMTW+1+vQcUx+K1Ys9AXa2AWcBPeO1B6JT+B6MdvJwVNl+2VHOM+lsJ9E9SAgnBW+t3IGgv&#10;FDEhsFkftFQ2gFHhNUaTuLSwA4/tqN2LcZg0qa5gVlrhaXxKZ54weBZ9NfMT7t7dl3vvdfqjufwX&#10;AAD//wMAUEsDBBQABgAIAAAAIQCNtbpv3QAAAAsBAAAPAAAAZHJzL2Rvd25yZXYueG1sTI/BTsMw&#10;EETvSPyDtUjcqJMCpQ1xKooAcW3oB2zibRI1XgfbTcPf45zgtjuzmn2TbyfTi5Gc7ywrSBcJCOLa&#10;6o4bBYev97s1CB+QNfaWScEPedgW11c5ZtpeeE9jGRoRQ9hnqKANYcik9HVLBv3CDsTRO1pnMMTV&#10;NVI7vMRw08tlkqykwY7jhxYHem2pPpVno0Dj2/d9M7qTL/d+tx4/3HH3WSl1ezO9PIMINIW/Y5jx&#10;IzoUkamyZ9Ze9ApikRDVVbqM0+ynm+QJRDVrjw8JyCKX/zsUvwAAAP//AwBQSwECLQAUAAYACAAA&#10;ACEAtoM4kv4AAADhAQAAEwAAAAAAAAAAAAAAAAAAAAAAW0NvbnRlbnRfVHlwZXNdLnhtbFBLAQIt&#10;ABQABgAIAAAAIQA4/SH/1gAAAJQBAAALAAAAAAAAAAAAAAAAAC8BAABfcmVscy8ucmVsc1BLAQIt&#10;ABQABgAIAAAAIQCIshnKPQMAALAGAAAOAAAAAAAAAAAAAAAAAC4CAABkcnMvZTJvRG9jLnhtbFBL&#10;AQItABQABgAIAAAAIQCNtbpv3QAAAAsBAAAPAAAAAAAAAAAAAAAAAJcFAABkcnMvZG93bnJldi54&#10;bWxQSwUGAAAAAAQABADzAAAAoQYAAAAA&#10;" o:allowincell="f" filled="f" stroked="f">
              <v:textbox inset="20pt,0,,0">
                <w:txbxContent>
                  <w:p w14:paraId="569E3BA6" w14:textId="3FF0CFFD" w:rsidR="004D1867" w:rsidRPr="004D1867" w:rsidRDefault="004D1867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58889" w14:textId="3694036B" w:rsidR="004D1867" w:rsidRDefault="004D1867">
    <w:pPr>
      <w:pStyle w:val="Footer"/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030C6C" wp14:editId="7ACD71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3d24bc294a4995103be8e66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75879" w14:textId="1467EB47" w:rsidR="004D1867" w:rsidRPr="004D1867" w:rsidRDefault="004D1867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030C6C" id="_x0000_t202" coordsize="21600,21600" o:spt="202" path="m,l,21600r21600,l21600,xe">
              <v:stroke joinstyle="miter"/>
              <v:path gradientshapeok="t" o:connecttype="rect"/>
            </v:shapetype>
            <v:shape id="MSIPCMb3d24bc294a4995103be8e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uIQAMAALkGAAAOAAAAZHJzL2Uyb0RvYy54bWysVUtv3DYQvhfIfyB46KmyHqa0K9VyYO9a&#10;rQE7MeAUOVMStSIqkQrJtdYN8t87pKRd27kUafYgkDPDb17fzF68P/QdemJKcylyHJ4FGDFRyZqL&#10;XY7/+lR4a4y0oaKmnRQsx89M4/eX7365GIeMRbKVXc0UAhChs3HIcWvMkPm+rlrWU30mByZA2UjV&#10;UwNXtfNrRUdA7zs/CoLEH6WqByUrpjVIt5MSXzr8pmGV+dg0mhnU5RhiM+6r3Le0X//ygmY7RYeW&#10;V3MY9Aei6CkX4PQItaWGor3i30H1vFJSy8acVbL3ZdPwirkcIJsweJPNY0sH5nKB4ujhWCb982Cr&#10;D08PCvEaeoeRoD206P7x9mFzX57XESmrKCWUpGkcBuclW7MkwahmuoIKfv31y16a3/+kut3Imk23&#10;zAsTsF6R6Dz8bTZgfNeaWb0m0VkwKz7z2rSzPE7jo/yhoxXrmVjeTCaFlIap6TwD3IqaHWaA2Ygr&#10;bR7obo5mtnsEFgA9Z8slrk9ymCXB0fUdaxavIPxm2TEOOoMiPQ5QJnO4lgdbKdtpPdzJ6m+NhNy0&#10;VOzYlVJybBmtoTuhfem/eDrhaAtSjvdQrhzTvZEO6NCo3gICGRCgA0ufj8xkB4MqEK7iJEhJjFEF&#10;uihJVoGjrk+z5fUAmf/BZI/sIccKcnbo9OlOGxsNzRYT60zIgnedY38nXgnAcJKAb3hqdTYKR+av&#10;aZDerG/WxCNRcuORYLv1rooN8ZIiXMXb8+1msw2/Wb8hyVpe10xYN8tgheS/EXce8WkkjqOlZcdr&#10;C2dD0mpXbjqFnigMduF+ruagOZn5r8NwRYBc3qQURiS4jlKvSNYrjxQk9tJVsPaCML1Ok4CkZFu8&#10;TumOC/b/U0JjjtM4iicynYJ+k1vgft/nRrOew0Cgjvc5Xh+NaGYpeCNq11pDeTedX5TChn8qBbR7&#10;abQjrOXoxFZzKA/zZgAwS+ZS1s/AYCWBYEBTWPtwaKX6B6MRVmiO9Zc9VQyj7lbAFEQxgbhg6bob&#10;HJQ7pCEhcCkXKRUVYOS4xGg6bgzcwGI/KLs6loET8gpGpuGOzadw5kGD/eiSmne5XcAv787q9I9z&#10;+S8A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DLzauI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6775879" w14:textId="1467EB47" w:rsidR="004D1867" w:rsidRPr="004D1867" w:rsidRDefault="004D1867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FA307" w14:textId="77777777" w:rsidR="00F90933" w:rsidRDefault="00F90933">
      <w:r>
        <w:separator/>
      </w:r>
    </w:p>
  </w:footnote>
  <w:footnote w:type="continuationSeparator" w:id="0">
    <w:p w14:paraId="7DC104FC" w14:textId="77777777" w:rsidR="00F90933" w:rsidRDefault="00F90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469F2"/>
    <w:multiLevelType w:val="hybridMultilevel"/>
    <w:tmpl w:val="40FC839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AD3"/>
    <w:rsid w:val="00010D02"/>
    <w:rsid w:val="00034024"/>
    <w:rsid w:val="00037C3F"/>
    <w:rsid w:val="0005430B"/>
    <w:rsid w:val="00061538"/>
    <w:rsid w:val="00076AFC"/>
    <w:rsid w:val="000A0A42"/>
    <w:rsid w:val="000F1720"/>
    <w:rsid w:val="000F30CA"/>
    <w:rsid w:val="000F4E43"/>
    <w:rsid w:val="001057B0"/>
    <w:rsid w:val="001259B1"/>
    <w:rsid w:val="001938E9"/>
    <w:rsid w:val="001C7DF5"/>
    <w:rsid w:val="001D1BB2"/>
    <w:rsid w:val="0020654C"/>
    <w:rsid w:val="00225543"/>
    <w:rsid w:val="0022722D"/>
    <w:rsid w:val="00250DEF"/>
    <w:rsid w:val="00252F47"/>
    <w:rsid w:val="00287CE6"/>
    <w:rsid w:val="003234E6"/>
    <w:rsid w:val="00332C3C"/>
    <w:rsid w:val="003502C4"/>
    <w:rsid w:val="00354BC0"/>
    <w:rsid w:val="00357195"/>
    <w:rsid w:val="003A1344"/>
    <w:rsid w:val="004234FF"/>
    <w:rsid w:val="00462EA1"/>
    <w:rsid w:val="00463675"/>
    <w:rsid w:val="00491DB7"/>
    <w:rsid w:val="004B43FA"/>
    <w:rsid w:val="004C3F5A"/>
    <w:rsid w:val="004C4DCF"/>
    <w:rsid w:val="004D1867"/>
    <w:rsid w:val="00512CF5"/>
    <w:rsid w:val="0052098B"/>
    <w:rsid w:val="00531CEA"/>
    <w:rsid w:val="00570023"/>
    <w:rsid w:val="00572703"/>
    <w:rsid w:val="00584B08"/>
    <w:rsid w:val="005B7E4C"/>
    <w:rsid w:val="00652783"/>
    <w:rsid w:val="006759D0"/>
    <w:rsid w:val="0068328F"/>
    <w:rsid w:val="00695CBE"/>
    <w:rsid w:val="0070102E"/>
    <w:rsid w:val="00702689"/>
    <w:rsid w:val="007116E4"/>
    <w:rsid w:val="00715919"/>
    <w:rsid w:val="00726FC3"/>
    <w:rsid w:val="00741883"/>
    <w:rsid w:val="0077485D"/>
    <w:rsid w:val="007A4FFC"/>
    <w:rsid w:val="007B78A6"/>
    <w:rsid w:val="00803E72"/>
    <w:rsid w:val="008C7468"/>
    <w:rsid w:val="008F4B67"/>
    <w:rsid w:val="00923E7C"/>
    <w:rsid w:val="00934D27"/>
    <w:rsid w:val="00A0201A"/>
    <w:rsid w:val="00A0230E"/>
    <w:rsid w:val="00A144BA"/>
    <w:rsid w:val="00A24CF3"/>
    <w:rsid w:val="00A54655"/>
    <w:rsid w:val="00A7348D"/>
    <w:rsid w:val="00A82D23"/>
    <w:rsid w:val="00AA4D79"/>
    <w:rsid w:val="00AA4FE8"/>
    <w:rsid w:val="00B17FAE"/>
    <w:rsid w:val="00B27686"/>
    <w:rsid w:val="00B47BD2"/>
    <w:rsid w:val="00B55028"/>
    <w:rsid w:val="00B862E6"/>
    <w:rsid w:val="00BA1868"/>
    <w:rsid w:val="00BB524D"/>
    <w:rsid w:val="00BE2F51"/>
    <w:rsid w:val="00C70D3C"/>
    <w:rsid w:val="00CA2FB0"/>
    <w:rsid w:val="00CC271F"/>
    <w:rsid w:val="00CF30C2"/>
    <w:rsid w:val="00D1087D"/>
    <w:rsid w:val="00D279A5"/>
    <w:rsid w:val="00D70FB9"/>
    <w:rsid w:val="00D83659"/>
    <w:rsid w:val="00DE63BA"/>
    <w:rsid w:val="00E15191"/>
    <w:rsid w:val="00E20604"/>
    <w:rsid w:val="00E221C7"/>
    <w:rsid w:val="00E4207B"/>
    <w:rsid w:val="00F0649B"/>
    <w:rsid w:val="00F20CD7"/>
    <w:rsid w:val="00F27C3D"/>
    <w:rsid w:val="00F64002"/>
    <w:rsid w:val="00F800C7"/>
    <w:rsid w:val="00F8756C"/>
    <w:rsid w:val="00F90933"/>
    <w:rsid w:val="00FA6EA8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A0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2019-08-19T09:01:00Z</dcterms:created>
  <dcterms:modified xsi:type="dcterms:W3CDTF">2019-08-19T09:01:00Z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2019-06-27T08:17:48.7380522Z</vt:lpwstr>
  </property>
  <property fmtid="{D5CDD505-2E9C-101B-9397-08002B2CF9AE}" pid="7" name="MSIP_Label_17da11e7-ad83-4459-98c6-12a88e2eac78_Name">
    <vt:lpwstr>Non-Vodafone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Non-Vodafone</vt:lpwstr>
  </property>
</Properties>
</file>